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D0" w:rsidRPr="00EE20D0" w:rsidRDefault="00EE20D0" w:rsidP="00EE20D0">
      <w:pPr>
        <w:spacing w:before="100" w:beforeAutospacing="1" w:after="0" w:line="360" w:lineRule="auto"/>
        <w:rPr>
          <w:rFonts w:ascii="Arial" w:eastAsia="Times New Roman" w:hAnsi="Arial" w:cs="Arial"/>
          <w:sz w:val="24"/>
          <w:szCs w:val="24"/>
          <w:lang w:eastAsia="pt-BR"/>
        </w:rPr>
      </w:pP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14"/>
        <w:gridCol w:w="7236"/>
      </w:tblGrid>
      <w:tr w:rsidR="00EE20D0" w:rsidRPr="00EE20D0" w:rsidTr="00EE20D0">
        <w:trPr>
          <w:trHeight w:val="1178"/>
          <w:tblCellSpacing w:w="0" w:type="dxa"/>
        </w:trPr>
        <w:tc>
          <w:tcPr>
            <w:tcW w:w="2475" w:type="dxa"/>
            <w:tcMar>
              <w:top w:w="28" w:type="dxa"/>
              <w:left w:w="28" w:type="dxa"/>
              <w:bottom w:w="28" w:type="dxa"/>
              <w:right w:w="28" w:type="dxa"/>
            </w:tcMar>
            <w:hideMark/>
          </w:tcPr>
          <w:p w:rsidR="00EE20D0" w:rsidRPr="00EE20D0" w:rsidRDefault="00EE20D0" w:rsidP="00EE20D0">
            <w:pPr>
              <w:spacing w:after="0" w:line="360" w:lineRule="auto"/>
              <w:jc w:val="center"/>
              <w:rPr>
                <w:rFonts w:ascii="Arial" w:eastAsia="Times New Roman" w:hAnsi="Arial" w:cs="Arial"/>
                <w:sz w:val="24"/>
                <w:szCs w:val="24"/>
                <w:lang w:eastAsia="pt-BR"/>
              </w:rPr>
            </w:pPr>
            <w:r w:rsidRPr="00EE20D0">
              <w:rPr>
                <w:rFonts w:ascii="Arial" w:eastAsia="Times New Roman" w:hAnsi="Arial" w:cs="Arial"/>
                <w:b/>
                <w:bCs/>
                <w:sz w:val="24"/>
                <w:szCs w:val="24"/>
                <w:lang w:eastAsia="pt-BR"/>
              </w:rPr>
              <w:t>Disciplinas obrigatórias do eixo comum</w:t>
            </w:r>
          </w:p>
        </w:tc>
        <w:tc>
          <w:tcPr>
            <w:tcW w:w="7125" w:type="dxa"/>
            <w:tcMar>
              <w:top w:w="28" w:type="dxa"/>
              <w:left w:w="28" w:type="dxa"/>
              <w:bottom w:w="28" w:type="dxa"/>
              <w:right w:w="28" w:type="dxa"/>
            </w:tcMar>
            <w:hideMark/>
          </w:tcPr>
          <w:p w:rsidR="00EE20D0" w:rsidRPr="00EE20D0" w:rsidRDefault="00EE20D0" w:rsidP="00EE20D0">
            <w:pPr>
              <w:spacing w:after="0" w:line="360" w:lineRule="auto"/>
              <w:jc w:val="center"/>
              <w:rPr>
                <w:rFonts w:ascii="Arial" w:eastAsia="Times New Roman" w:hAnsi="Arial" w:cs="Arial"/>
                <w:b/>
                <w:bCs/>
                <w:sz w:val="24"/>
                <w:szCs w:val="24"/>
                <w:lang w:eastAsia="pt-BR"/>
              </w:rPr>
            </w:pPr>
          </w:p>
          <w:p w:rsidR="00EE20D0" w:rsidRPr="00EE20D0" w:rsidRDefault="00EE20D0" w:rsidP="00EE20D0">
            <w:pPr>
              <w:spacing w:after="0" w:line="360" w:lineRule="auto"/>
              <w:jc w:val="center"/>
              <w:rPr>
                <w:rFonts w:ascii="Arial" w:eastAsia="Times New Roman" w:hAnsi="Arial" w:cs="Arial"/>
                <w:b/>
                <w:bCs/>
                <w:sz w:val="24"/>
                <w:szCs w:val="24"/>
                <w:lang w:eastAsia="pt-BR"/>
              </w:rPr>
            </w:pPr>
            <w:r w:rsidRPr="00EE20D0">
              <w:rPr>
                <w:rFonts w:ascii="Arial" w:eastAsia="Times New Roman" w:hAnsi="Arial" w:cs="Arial"/>
                <w:b/>
                <w:bCs/>
                <w:sz w:val="24"/>
                <w:szCs w:val="24"/>
                <w:lang w:eastAsia="pt-BR"/>
              </w:rPr>
              <w:t>Ementa/Bibliografia</w:t>
            </w:r>
          </w:p>
        </w:tc>
      </w:tr>
      <w:tr w:rsidR="00EE20D0" w:rsidRPr="00EE20D0" w:rsidTr="00EE20D0">
        <w:trPr>
          <w:trHeight w:val="3107"/>
          <w:tblCellSpacing w:w="0" w:type="dxa"/>
        </w:trPr>
        <w:tc>
          <w:tcPr>
            <w:tcW w:w="247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Teoria do direito contemporâneo</w:t>
            </w:r>
          </w:p>
        </w:tc>
        <w:tc>
          <w:tcPr>
            <w:tcW w:w="7125"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A partir de uma abordagem dos pressupostos epistemológicos que configuram as principais matrizes teóricas da Teoria do Direito contemporâneo demonstrar a importância da noção de sistema para a observação dos novos direitos. Para tanto, examinaremos as perspectivas Analíticas, Hermenêuticas e Pragmático-Sistêmicas do Direito.</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6" w:history="1">
              <w:r w:rsidR="00EE20D0" w:rsidRPr="00EE20D0">
                <w:rPr>
                  <w:rFonts w:ascii="Arial" w:eastAsia="Times New Roman" w:hAnsi="Arial" w:cs="Arial"/>
                  <w:color w:val="0000FF"/>
                  <w:sz w:val="24"/>
                  <w:szCs w:val="24"/>
                  <w:u w:val="single"/>
                  <w:bdr w:val="none" w:sz="0" w:space="0" w:color="auto" w:frame="1"/>
                  <w:lang w:eastAsia="pt-BR"/>
                </w:rPr>
                <w:t>Teoria do Direito Contemporâneo</w:t>
              </w:r>
            </w:hyperlink>
          </w:p>
        </w:tc>
      </w:tr>
      <w:tr w:rsidR="00EE20D0" w:rsidRPr="00EE20D0" w:rsidTr="00EE20D0">
        <w:trPr>
          <w:trHeight w:val="4424"/>
          <w:tblCellSpacing w:w="0" w:type="dxa"/>
        </w:trPr>
        <w:tc>
          <w:tcPr>
            <w:tcW w:w="247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Teoria da Política do mundo Globalizado</w:t>
            </w:r>
          </w:p>
        </w:tc>
        <w:tc>
          <w:tcPr>
            <w:tcW w:w="7125"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A especificidade do fenômeno estatal e seus fundamentos. Estado, soberania e território. O mundo do Estado e seus contornos políticos e jurídicos: aspectos nacionais e internacionais. A segunda guerra mundial e suas consequências. O processo de internacionalização da economia. Os novos atores internacionais. A internacionalização da proteção dos direitos humanos. A conformação do sistema de comunicação planetário. O declínio do Estado e os novos fluxos políticos. A ruína do “Templo de </w:t>
            </w:r>
            <w:proofErr w:type="spellStart"/>
            <w:r w:rsidRPr="00EE20D0">
              <w:rPr>
                <w:rFonts w:ascii="Arial" w:eastAsia="Times New Roman" w:hAnsi="Arial" w:cs="Arial"/>
                <w:sz w:val="24"/>
                <w:szCs w:val="24"/>
                <w:lang w:eastAsia="pt-BR"/>
              </w:rPr>
              <w:t>Vestfália</w:t>
            </w:r>
            <w:proofErr w:type="spellEnd"/>
            <w:r w:rsidRPr="00EE20D0">
              <w:rPr>
                <w:rFonts w:ascii="Arial" w:eastAsia="Times New Roman" w:hAnsi="Arial" w:cs="Arial"/>
                <w:sz w:val="24"/>
                <w:szCs w:val="24"/>
                <w:lang w:eastAsia="pt-BR"/>
              </w:rPr>
              <w:t>” e a conformação do sistema global.</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7" w:history="1">
              <w:r w:rsidR="00EE20D0" w:rsidRPr="00EE20D0">
                <w:rPr>
                  <w:rFonts w:ascii="Arial" w:eastAsia="Times New Roman" w:hAnsi="Arial" w:cs="Arial"/>
                  <w:color w:val="0000FF"/>
                  <w:sz w:val="24"/>
                  <w:szCs w:val="24"/>
                  <w:u w:val="single"/>
                  <w:bdr w:val="none" w:sz="0" w:space="0" w:color="auto" w:frame="1"/>
                  <w:lang w:eastAsia="pt-BR"/>
                </w:rPr>
                <w:t>Teoria Política do Mundo Globalizado</w:t>
              </w:r>
            </w:hyperlink>
          </w:p>
        </w:tc>
      </w:tr>
      <w:tr w:rsidR="00EE20D0" w:rsidRPr="00EE20D0" w:rsidTr="00EE20D0">
        <w:trPr>
          <w:trHeight w:val="4424"/>
          <w:tblCellSpacing w:w="0" w:type="dxa"/>
        </w:trPr>
        <w:tc>
          <w:tcPr>
            <w:tcW w:w="247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Teoria da sociedade complexa</w:t>
            </w:r>
          </w:p>
        </w:tc>
        <w:tc>
          <w:tcPr>
            <w:tcW w:w="7125"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As sociedades complexas e sua historicidade diante dos caminhos percorridos pela sociedade ocidental; sociedades complexas, indivíduo, cultura e individualismo; as configurações da modernidade, sua sociabilidade e o indivíduo proveniente deste processo; teorização acerca das sociedades complexas, análise da cultura, da ideologia e das diversificações da sociedade humana global contemporânea. O Direito nas sociedades complexas contemporâneas.</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8" w:history="1">
              <w:r w:rsidR="00EE20D0" w:rsidRPr="00EE20D0">
                <w:rPr>
                  <w:rStyle w:val="Hyperlink"/>
                  <w:rFonts w:ascii="Arial" w:eastAsia="Times New Roman" w:hAnsi="Arial" w:cs="Arial"/>
                  <w:sz w:val="24"/>
                  <w:szCs w:val="24"/>
                  <w:bdr w:val="none" w:sz="0" w:space="0" w:color="auto" w:frame="1"/>
                  <w:lang w:eastAsia="pt-BR"/>
                </w:rPr>
                <w:t>Teoria da Sociedade Complexa</w:t>
              </w:r>
            </w:hyperlink>
          </w:p>
        </w:tc>
      </w:tr>
      <w:tr w:rsidR="00EE20D0" w:rsidRPr="00EE20D0" w:rsidTr="00EE20D0">
        <w:trPr>
          <w:trHeight w:val="4424"/>
          <w:tblCellSpacing w:w="0" w:type="dxa"/>
        </w:trPr>
        <w:tc>
          <w:tcPr>
            <w:tcW w:w="247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lastRenderedPageBreak/>
              <w:t>Direitos humanos e cidadania em sociedades multiculturais</w:t>
            </w:r>
          </w:p>
        </w:tc>
        <w:tc>
          <w:tcPr>
            <w:tcW w:w="7125"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Dimensões de dignidade da pessoa humana. Conceito, significado e funções dos Direitos Humanos. Articulações entre cidadania, reconhecimento e solidariedade. As concepções de cidadania e as possibilidades de seu exercício em ambientes multiculturais. Lutas por reconhecimento no Estado Constitucional. Identidade, igualdade e diferença no âmbito multicultural. Inclusão social em sociedades complexas. O âmbito brasileiro e a cidadania. A emergência de uma sociedade de convivência solidária de base transcultural.</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9" w:history="1">
              <w:r w:rsidR="00EE20D0" w:rsidRPr="00EE20D0">
                <w:rPr>
                  <w:rFonts w:ascii="Arial" w:eastAsia="Times New Roman" w:hAnsi="Arial" w:cs="Arial"/>
                  <w:color w:val="0000FF"/>
                  <w:sz w:val="24"/>
                  <w:szCs w:val="24"/>
                  <w:u w:val="single"/>
                  <w:bdr w:val="none" w:sz="0" w:space="0" w:color="auto" w:frame="1"/>
                  <w:lang w:eastAsia="pt-BR"/>
                </w:rPr>
                <w:t>Direitos Humanos e Cidadania em Sociedades Multiculturais</w:t>
              </w:r>
            </w:hyperlink>
          </w:p>
        </w:tc>
      </w:tr>
      <w:tr w:rsidR="00EE20D0" w:rsidRPr="00EE20D0" w:rsidTr="00EE20D0">
        <w:trPr>
          <w:trHeight w:val="3742"/>
          <w:tblCellSpacing w:w="0" w:type="dxa"/>
        </w:trPr>
        <w:tc>
          <w:tcPr>
            <w:tcW w:w="247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Métodos da pesquisa e do ensino superior</w:t>
            </w:r>
          </w:p>
        </w:tc>
        <w:tc>
          <w:tcPr>
            <w:tcW w:w="7125"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A noção de ciência, de conhecimento, de método e de ensino; Bases científicas e instrumentais para a elaboração de projetos de </w:t>
            </w:r>
            <w:proofErr w:type="gramStart"/>
            <w:r w:rsidRPr="00EE20D0">
              <w:rPr>
                <w:rFonts w:ascii="Arial" w:eastAsia="Times New Roman" w:hAnsi="Arial" w:cs="Arial"/>
                <w:sz w:val="24"/>
                <w:szCs w:val="24"/>
                <w:lang w:eastAsia="pt-BR"/>
              </w:rPr>
              <w:t>pesquisa;  Modos</w:t>
            </w:r>
            <w:proofErr w:type="gramEnd"/>
            <w:r w:rsidRPr="00EE20D0">
              <w:rPr>
                <w:rFonts w:ascii="Arial" w:eastAsia="Times New Roman" w:hAnsi="Arial" w:cs="Arial"/>
                <w:sz w:val="24"/>
                <w:szCs w:val="24"/>
                <w:lang w:eastAsia="pt-BR"/>
              </w:rPr>
              <w:t xml:space="preserve"> de raciocínio, métodos de construção de conhecimentos e técnicas de pesquisa. Metodologia do Ensino Superior.  A Crise do Ensino Jurídico. O Ensino Jurídico: suas especificidades. A visão política do Ensino Jurídico. As Diretrizes Curriculares dos cursos de Direito no Brasil.</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0" w:history="1">
              <w:r w:rsidR="00EE20D0" w:rsidRPr="00EE20D0">
                <w:rPr>
                  <w:rFonts w:ascii="Arial" w:eastAsia="Times New Roman" w:hAnsi="Arial" w:cs="Arial"/>
                  <w:color w:val="0000FF"/>
                  <w:sz w:val="24"/>
                  <w:szCs w:val="24"/>
                  <w:u w:val="single"/>
                  <w:bdr w:val="none" w:sz="0" w:space="0" w:color="auto" w:frame="1"/>
                  <w:lang w:eastAsia="pt-BR"/>
                </w:rPr>
                <w:t>Método da Pesquisa e do Ensino Superior</w:t>
              </w:r>
            </w:hyperlink>
          </w:p>
        </w:tc>
      </w:tr>
    </w:tbl>
    <w:p w:rsidR="00EE20D0" w:rsidRPr="00EE20D0" w:rsidRDefault="00EE20D0" w:rsidP="00EE20D0">
      <w:pPr>
        <w:spacing w:before="100" w:beforeAutospacing="1" w:after="240" w:line="360" w:lineRule="auto"/>
        <w:rPr>
          <w:rFonts w:ascii="Arial" w:eastAsia="Times New Roman" w:hAnsi="Arial" w:cs="Arial"/>
          <w:sz w:val="24"/>
          <w:szCs w:val="24"/>
          <w:lang w:eastAsia="pt-BR"/>
        </w:rPr>
      </w:pP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47"/>
        <w:gridCol w:w="7203"/>
      </w:tblGrid>
      <w:tr w:rsidR="00EE20D0" w:rsidRPr="00EE20D0" w:rsidTr="00EE20D0">
        <w:trPr>
          <w:tblCellSpacing w:w="0" w:type="dxa"/>
        </w:trPr>
        <w:tc>
          <w:tcPr>
            <w:tcW w:w="9750" w:type="dxa"/>
            <w:gridSpan w:val="2"/>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LINHA DE PESQUISA 1: Direito e Multiculturalismo</w:t>
            </w:r>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Disciplinas eletivas</w:t>
            </w:r>
          </w:p>
        </w:tc>
        <w:tc>
          <w:tcPr>
            <w:tcW w:w="7203" w:type="dxa"/>
            <w:tcMar>
              <w:top w:w="28" w:type="dxa"/>
              <w:left w:w="28" w:type="dxa"/>
              <w:bottom w:w="28" w:type="dxa"/>
              <w:right w:w="28" w:type="dxa"/>
            </w:tcMar>
            <w:hideMark/>
          </w:tcPr>
          <w:p w:rsidR="00EE20D0" w:rsidRPr="00EE20D0" w:rsidRDefault="00EE20D0" w:rsidP="00BD14BB">
            <w:pPr>
              <w:spacing w:before="100" w:beforeAutospacing="1" w:after="0" w:line="360" w:lineRule="auto"/>
              <w:jc w:val="center"/>
              <w:rPr>
                <w:rFonts w:ascii="Arial" w:eastAsia="Times New Roman" w:hAnsi="Arial" w:cs="Arial"/>
                <w:sz w:val="24"/>
                <w:szCs w:val="24"/>
                <w:lang w:eastAsia="pt-BR"/>
              </w:rPr>
            </w:pPr>
            <w:r w:rsidRPr="00EE20D0">
              <w:rPr>
                <w:rFonts w:ascii="Arial" w:eastAsia="Times New Roman" w:hAnsi="Arial" w:cs="Arial"/>
                <w:b/>
                <w:bCs/>
                <w:sz w:val="24"/>
                <w:szCs w:val="24"/>
                <w:lang w:eastAsia="pt-BR"/>
              </w:rPr>
              <w:t>Ementa</w:t>
            </w:r>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Multiculturalismo: Identidade e Diversidade</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Nuances teóricas e sociais da Cultura. Multiculturalismo: identidade individuais e coletivas. Identidade e diversidade. Multiculturalismo e suas incidências no domínio político, social, cultural e jurídico. Multiculturalismo e Complexidade.</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1" w:history="1">
              <w:r w:rsidR="00EE20D0" w:rsidRPr="00EE20D0">
                <w:rPr>
                  <w:rFonts w:ascii="Arial" w:eastAsia="Times New Roman" w:hAnsi="Arial" w:cs="Arial"/>
                  <w:color w:val="0000FF"/>
                  <w:sz w:val="24"/>
                  <w:szCs w:val="24"/>
                  <w:u w:val="single"/>
                  <w:bdr w:val="none" w:sz="0" w:space="0" w:color="auto" w:frame="1"/>
                  <w:lang w:eastAsia="pt-BR"/>
                </w:rPr>
                <w:t>Multiculturalismo Identidade e Diversidade</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Antropologia e gênero</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Mudanças histórico-sociais e novos paradigmas culturais. Conceitos de família e de gênero. Relações de parentesco, gênero, sexualidade e afetividade. As lutas e conquistas feministas e a questão da diferença. Abordagens antropológicas, </w:t>
            </w:r>
            <w:r w:rsidRPr="00EE20D0">
              <w:rPr>
                <w:rFonts w:ascii="Arial" w:eastAsia="Times New Roman" w:hAnsi="Arial" w:cs="Arial"/>
                <w:sz w:val="24"/>
                <w:szCs w:val="24"/>
                <w:lang w:eastAsia="pt-BR"/>
              </w:rPr>
              <w:lastRenderedPageBreak/>
              <w:t>sociológicas e históricas de parentesco, gênero, sexualidade e afetividade. Família, gênero e identidade e o enigma da igualdade.</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2" w:history="1">
              <w:r w:rsidR="00EE20D0" w:rsidRPr="00EE20D0">
                <w:rPr>
                  <w:rFonts w:ascii="Arial" w:eastAsia="Times New Roman" w:hAnsi="Arial" w:cs="Arial"/>
                  <w:color w:val="0000FF"/>
                  <w:sz w:val="24"/>
                  <w:szCs w:val="24"/>
                  <w:u w:val="single"/>
                  <w:bdr w:val="none" w:sz="0" w:space="0" w:color="auto" w:frame="1"/>
                  <w:lang w:eastAsia="pt-BR"/>
                </w:rPr>
                <w:t>Antropologia e gênero</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lastRenderedPageBreak/>
              <w:t>Direito, cultura e religião</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Mudanças histórico-sociais e novos paradigmas culturais. A emergência do sujeito de direitos culturais. Família: diversidade de formas e diferentes modelos ao longo da história. Novas famílias na contemporaneidade. Religião e novas famílias. Relações entre cultura, religião, direitos humanos e gênero. Direitos à igualdade e à diferença e suas relações com cultura e religião. Violência cultural/intercultural e religião.</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3" w:history="1">
              <w:r w:rsidR="00EE20D0" w:rsidRPr="00EE20D0">
                <w:rPr>
                  <w:rFonts w:ascii="Arial" w:eastAsia="Times New Roman" w:hAnsi="Arial" w:cs="Arial"/>
                  <w:color w:val="0000FF"/>
                  <w:sz w:val="24"/>
                  <w:szCs w:val="24"/>
                  <w:u w:val="single"/>
                  <w:bdr w:val="none" w:sz="0" w:space="0" w:color="auto" w:frame="1"/>
                  <w:lang w:eastAsia="pt-BR"/>
                </w:rPr>
                <w:t>Direito, cultura e religião</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Direito, movimentos sociais e minorias</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Sistema de redes e as ações coletivas. Os Movimentos Sociais. Emergência de um novo espaço público transnacional. Novos atores e gestão de políticas públicas. Identidade descentrada, governos locais e desconcentração do Estado-Nação. Novos campos de conflito. Agendas globais.</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4" w:history="1">
              <w:r w:rsidR="00EE20D0" w:rsidRPr="00EE20D0">
                <w:rPr>
                  <w:rStyle w:val="Hyperlink"/>
                  <w:rFonts w:ascii="Arial" w:eastAsia="Times New Roman" w:hAnsi="Arial" w:cs="Arial"/>
                  <w:sz w:val="24"/>
                  <w:szCs w:val="24"/>
                  <w:bdr w:val="none" w:sz="0" w:space="0" w:color="auto" w:frame="1"/>
                  <w:lang w:eastAsia="pt-BR"/>
                </w:rPr>
                <w:t>Direito, Movimentos Sociais e Minorias</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Ecologia Política</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A recepção contemporânea do pensamento filosófico grego clássico; Os possíveis sentidos da “morada (</w:t>
            </w:r>
            <w:proofErr w:type="spellStart"/>
            <w:r w:rsidRPr="00EE20D0">
              <w:rPr>
                <w:rFonts w:ascii="Arial" w:eastAsia="Times New Roman" w:hAnsi="Arial" w:cs="Arial"/>
                <w:sz w:val="24"/>
                <w:szCs w:val="24"/>
                <w:lang w:eastAsia="pt-BR"/>
              </w:rPr>
              <w:t>oikos</w:t>
            </w:r>
            <w:proofErr w:type="spellEnd"/>
            <w:r w:rsidRPr="00EE20D0">
              <w:rPr>
                <w:rFonts w:ascii="Arial" w:eastAsia="Times New Roman" w:hAnsi="Arial" w:cs="Arial"/>
                <w:sz w:val="24"/>
                <w:szCs w:val="24"/>
                <w:lang w:eastAsia="pt-BR"/>
              </w:rPr>
              <w:t xml:space="preserve">) planetária. A Ecologia Política enquanto </w:t>
            </w:r>
            <w:proofErr w:type="spellStart"/>
            <w:r w:rsidRPr="00EE20D0">
              <w:rPr>
                <w:rFonts w:ascii="Arial" w:eastAsia="Times New Roman" w:hAnsi="Arial" w:cs="Arial"/>
                <w:sz w:val="24"/>
                <w:szCs w:val="24"/>
                <w:lang w:eastAsia="pt-BR"/>
              </w:rPr>
              <w:t>ecosofia</w:t>
            </w:r>
            <w:proofErr w:type="spellEnd"/>
            <w:r w:rsidRPr="00EE20D0">
              <w:rPr>
                <w:rFonts w:ascii="Arial" w:eastAsia="Times New Roman" w:hAnsi="Arial" w:cs="Arial"/>
                <w:sz w:val="24"/>
                <w:szCs w:val="24"/>
                <w:lang w:eastAsia="pt-BR"/>
              </w:rPr>
              <w:t xml:space="preserve">; os registros ecológicos: meio ambiente, relações sociais e subjetividade. Os “mundos” paradoxais da Ecologia Geral e da Ecologia Política. A ecologia dos afetos: uma proposta para reconhecimento da alteridade; o surrealismo do pensamento </w:t>
            </w:r>
            <w:proofErr w:type="spellStart"/>
            <w:r w:rsidRPr="00EE20D0">
              <w:rPr>
                <w:rFonts w:ascii="Arial" w:eastAsia="Times New Roman" w:hAnsi="Arial" w:cs="Arial"/>
                <w:sz w:val="24"/>
                <w:szCs w:val="24"/>
                <w:lang w:eastAsia="pt-BR"/>
              </w:rPr>
              <w:t>waratiano</w:t>
            </w:r>
            <w:proofErr w:type="spellEnd"/>
            <w:r w:rsidRPr="00EE20D0">
              <w:rPr>
                <w:rFonts w:ascii="Arial" w:eastAsia="Times New Roman" w:hAnsi="Arial" w:cs="Arial"/>
                <w:sz w:val="24"/>
                <w:szCs w:val="24"/>
                <w:lang w:eastAsia="pt-BR"/>
              </w:rPr>
              <w:t xml:space="preserve">. A matriz biológico-cultural da existência humana, e o caminho do amar: um olhar de Humberto </w:t>
            </w:r>
            <w:proofErr w:type="spellStart"/>
            <w:r w:rsidRPr="00EE20D0">
              <w:rPr>
                <w:rFonts w:ascii="Arial" w:eastAsia="Times New Roman" w:hAnsi="Arial" w:cs="Arial"/>
                <w:sz w:val="24"/>
                <w:szCs w:val="24"/>
                <w:lang w:eastAsia="pt-BR"/>
              </w:rPr>
              <w:t>Maturana</w:t>
            </w:r>
            <w:proofErr w:type="spellEnd"/>
            <w:r w:rsidRPr="00EE20D0">
              <w:rPr>
                <w:rFonts w:ascii="Arial" w:eastAsia="Times New Roman" w:hAnsi="Arial" w:cs="Arial"/>
                <w:sz w:val="24"/>
                <w:szCs w:val="24"/>
                <w:lang w:eastAsia="pt-BR"/>
              </w:rPr>
              <w:t>. A compreensão da compreensão da inscrição constitucional de um “direito ao meio ambiente ecologicamente equilibrado”.</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5" w:history="1">
              <w:r w:rsidR="00EE20D0" w:rsidRPr="00EE20D0">
                <w:rPr>
                  <w:rFonts w:ascii="Arial" w:eastAsia="Times New Roman" w:hAnsi="Arial" w:cs="Arial"/>
                  <w:color w:val="0000FF"/>
                  <w:sz w:val="24"/>
                  <w:szCs w:val="24"/>
                  <w:u w:val="single"/>
                  <w:bdr w:val="none" w:sz="0" w:space="0" w:color="auto" w:frame="1"/>
                  <w:lang w:eastAsia="pt-BR"/>
                </w:rPr>
                <w:t>Ecologia Política</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Estado, constituição e diferença</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Universalismo, particularismo e diferencialismo. Constitucionalismo antigo e moderno. Estado constitucional. O </w:t>
            </w:r>
            <w:r w:rsidRPr="00EE20D0">
              <w:rPr>
                <w:rFonts w:ascii="Arial" w:eastAsia="Times New Roman" w:hAnsi="Arial" w:cs="Arial"/>
                <w:sz w:val="24"/>
                <w:szCs w:val="24"/>
                <w:lang w:eastAsia="pt-BR"/>
              </w:rPr>
              <w:lastRenderedPageBreak/>
              <w:t>Parlamento como espinha dorsal do modelo constitucional liberal. O universalismo antidiferencialista como estratégia do constitucionalismo liberal. As Declarações de Direitos constitucionalizadas. A positivação constitucional de soluções universalizantes como instrumento de gestão da desigualdade e da exclusão. A recepção do diferencialismo pelos sistemas normativos constitucionais e as possibilidades alternativas emergentes de construção da igualdade e da diferença. O diferencialismo no constitucionalismo latino-americano. A proteção das minorias parlamentares como estratégia de defesa da igualdade e dos direitos fundamentais. Jurisdição constitucional da diferença. Neoconstitucionalismo.</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6" w:history="1">
              <w:r w:rsidR="00EE20D0" w:rsidRPr="00EE20D0">
                <w:rPr>
                  <w:rStyle w:val="Hyperlink"/>
                  <w:rFonts w:ascii="Arial" w:eastAsia="Times New Roman" w:hAnsi="Arial" w:cs="Arial"/>
                  <w:sz w:val="24"/>
                  <w:szCs w:val="24"/>
                  <w:bdr w:val="none" w:sz="0" w:space="0" w:color="auto" w:frame="1"/>
                  <w:lang w:eastAsia="pt-BR"/>
                </w:rPr>
                <w:t>Estado, Constituição e Diferença</w:t>
              </w:r>
            </w:hyperlink>
          </w:p>
        </w:tc>
      </w:tr>
    </w:tbl>
    <w:p w:rsidR="00EE20D0" w:rsidRPr="00EE20D0" w:rsidRDefault="00EE20D0" w:rsidP="00EE20D0">
      <w:pPr>
        <w:spacing w:before="100" w:beforeAutospacing="1" w:after="240" w:line="360" w:lineRule="auto"/>
        <w:rPr>
          <w:rFonts w:ascii="Arial" w:eastAsia="Times New Roman" w:hAnsi="Arial" w:cs="Arial"/>
          <w:sz w:val="24"/>
          <w:szCs w:val="24"/>
          <w:lang w:eastAsia="pt-BR"/>
        </w:rPr>
      </w:pP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547"/>
        <w:gridCol w:w="7203"/>
      </w:tblGrid>
      <w:tr w:rsidR="00EE20D0" w:rsidRPr="00EE20D0" w:rsidTr="00EE20D0">
        <w:trPr>
          <w:tblCellSpacing w:w="0" w:type="dxa"/>
        </w:trPr>
        <w:tc>
          <w:tcPr>
            <w:tcW w:w="9750" w:type="dxa"/>
            <w:gridSpan w:val="2"/>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LINHA DE PESQUISA 2: Políticas de Cidadania e Resoluções de Conflito</w:t>
            </w:r>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BD14BB">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Disciplinas eletivas</w:t>
            </w:r>
          </w:p>
        </w:tc>
        <w:tc>
          <w:tcPr>
            <w:tcW w:w="7203" w:type="dxa"/>
            <w:tcMar>
              <w:top w:w="28" w:type="dxa"/>
              <w:left w:w="28" w:type="dxa"/>
              <w:bottom w:w="28" w:type="dxa"/>
              <w:right w:w="28" w:type="dxa"/>
            </w:tcMar>
            <w:hideMark/>
          </w:tcPr>
          <w:p w:rsidR="00EE20D0" w:rsidRPr="00EE20D0" w:rsidRDefault="00EE20D0" w:rsidP="00BD14BB">
            <w:pPr>
              <w:spacing w:before="100" w:beforeAutospacing="1" w:after="0" w:line="360" w:lineRule="auto"/>
              <w:jc w:val="center"/>
              <w:rPr>
                <w:rFonts w:ascii="Arial" w:eastAsia="Times New Roman" w:hAnsi="Arial" w:cs="Arial"/>
                <w:sz w:val="24"/>
                <w:szCs w:val="24"/>
                <w:lang w:eastAsia="pt-BR"/>
              </w:rPr>
            </w:pPr>
            <w:r w:rsidRPr="00EE20D0">
              <w:rPr>
                <w:rFonts w:ascii="Arial" w:eastAsia="Times New Roman" w:hAnsi="Arial" w:cs="Arial"/>
                <w:b/>
                <w:bCs/>
                <w:sz w:val="24"/>
                <w:szCs w:val="24"/>
                <w:lang w:eastAsia="pt-BR"/>
              </w:rPr>
              <w:t>Ementa</w:t>
            </w:r>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Políticas legislativas e diversidade</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Teoria da legislação. Racionalidades legislativas. Integridade e racionalidade legislativa. O direito à diferença. Legislação simbólica e diversidade cultural. A unidade de valor. Política e princípio. Possibilidades de uma teoria da legislação no âmbito do Direito brasileiro.</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7" w:history="1">
              <w:r w:rsidR="00EE20D0" w:rsidRPr="00EE20D0">
                <w:rPr>
                  <w:rFonts w:ascii="Arial" w:eastAsia="Times New Roman" w:hAnsi="Arial" w:cs="Arial"/>
                  <w:color w:val="0000FF"/>
                  <w:sz w:val="24"/>
                  <w:szCs w:val="24"/>
                  <w:u w:val="single"/>
                  <w:bdr w:val="none" w:sz="0" w:space="0" w:color="auto" w:frame="1"/>
                  <w:lang w:eastAsia="pt-BR"/>
                </w:rPr>
                <w:t>Políticas Legislativas e Diversidade</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Cultura, inovação e tutela do patrimônio</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Buscar-se-á estudar aqui os direitos intelectuais e culturais, a partir de uma visão interdisciplinar que permita compreender e relacionar os diferentes aspectos que envolvem a proteção desde os conhecimentos tradicionais até a inovação tecnológica.  Enfocar-se-ão, assim as possibilidades jurídicas de proteção a este patrimônio, bem como sua relevância para a identidade, história e economia de um país.</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8" w:history="1">
              <w:r w:rsidR="00EE20D0" w:rsidRPr="00EE20D0">
                <w:rPr>
                  <w:rFonts w:ascii="Arial" w:eastAsia="Times New Roman" w:hAnsi="Arial" w:cs="Arial"/>
                  <w:color w:val="0000FF"/>
                  <w:sz w:val="24"/>
                  <w:szCs w:val="24"/>
                  <w:u w:val="single"/>
                  <w:bdr w:val="none" w:sz="0" w:space="0" w:color="auto" w:frame="1"/>
                  <w:lang w:eastAsia="pt-BR"/>
                </w:rPr>
                <w:t>Cultura, inovação e tutela do patrimônio</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lastRenderedPageBreak/>
              <w:t xml:space="preserve">Direito Internacional e Interação na </w:t>
            </w:r>
            <w:proofErr w:type="spellStart"/>
            <w:r w:rsidRPr="00EE20D0">
              <w:rPr>
                <w:rFonts w:ascii="Arial" w:eastAsia="Times New Roman" w:hAnsi="Arial" w:cs="Arial"/>
                <w:sz w:val="24"/>
                <w:szCs w:val="24"/>
                <w:lang w:eastAsia="pt-BR"/>
              </w:rPr>
              <w:t>America</w:t>
            </w:r>
            <w:proofErr w:type="spellEnd"/>
            <w:r w:rsidRPr="00EE20D0">
              <w:rPr>
                <w:rFonts w:ascii="Arial" w:eastAsia="Times New Roman" w:hAnsi="Arial" w:cs="Arial"/>
                <w:sz w:val="24"/>
                <w:szCs w:val="24"/>
                <w:lang w:eastAsia="pt-BR"/>
              </w:rPr>
              <w:t xml:space="preserve"> Latina</w:t>
            </w:r>
          </w:p>
        </w:tc>
        <w:tc>
          <w:tcPr>
            <w:tcW w:w="7203" w:type="dxa"/>
            <w:tcMar>
              <w:top w:w="28" w:type="dxa"/>
              <w:left w:w="28" w:type="dxa"/>
              <w:bottom w:w="28" w:type="dxa"/>
              <w:right w:w="28" w:type="dxa"/>
            </w:tcMar>
            <w:hideMark/>
          </w:tcPr>
          <w:p w:rsidR="00EE20D0" w:rsidRPr="00EE20D0" w:rsidRDefault="00EE20D0" w:rsidP="00EE20D0">
            <w:pPr>
              <w:spacing w:before="18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Estudo de questões relacionadas ao Direito Internacional no contexto atual. A relação dos povos e sociedades latino-americanas com o Direito Internacional e seus principais institutos. Os movimentos e processos de </w:t>
            </w:r>
            <w:proofErr w:type="spellStart"/>
            <w:r w:rsidRPr="00EE20D0">
              <w:rPr>
                <w:rFonts w:ascii="Arial" w:eastAsia="Times New Roman" w:hAnsi="Arial" w:cs="Arial"/>
                <w:sz w:val="24"/>
                <w:szCs w:val="24"/>
                <w:lang w:eastAsia="pt-BR"/>
              </w:rPr>
              <w:t>inte</w:t>
            </w:r>
            <w:proofErr w:type="spellEnd"/>
            <w:r w:rsidRPr="00EE20D0">
              <w:rPr>
                <w:rFonts w:ascii="Arial" w:eastAsia="Times New Roman" w:hAnsi="Arial" w:cs="Arial"/>
                <w:sz w:val="24"/>
                <w:szCs w:val="24"/>
                <w:lang w:eastAsia="pt-BR"/>
              </w:rPr>
              <w:t>(g)ração dos Estados. Análise dos paradoxos da aplicação de princípios do Direito Internacional (autodeterminação, não indiferença, responsabilidade de proteger, entre outros) à luz dos acontecimentos internacionais recentes.</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19" w:history="1">
              <w:r w:rsidR="00EE20D0" w:rsidRPr="00EE20D0">
                <w:rPr>
                  <w:rFonts w:ascii="Arial" w:eastAsia="Times New Roman" w:hAnsi="Arial" w:cs="Arial"/>
                  <w:color w:val="0000FF"/>
                  <w:sz w:val="24"/>
                  <w:szCs w:val="24"/>
                  <w:u w:val="single"/>
                  <w:bdr w:val="none" w:sz="0" w:space="0" w:color="auto" w:frame="1"/>
                  <w:lang w:eastAsia="pt-BR"/>
                </w:rPr>
                <w:t>Direito Internacional e Interação na América Latina</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Limites e possibilidades da mediação comunitária/popular</w:t>
            </w:r>
          </w:p>
          <w:p w:rsidR="00EE20D0" w:rsidRPr="00EE20D0" w:rsidRDefault="00EE20D0" w:rsidP="00EE20D0">
            <w:pPr>
              <w:spacing w:before="181" w:after="240" w:line="360" w:lineRule="auto"/>
              <w:rPr>
                <w:rFonts w:ascii="Arial" w:eastAsia="Times New Roman" w:hAnsi="Arial" w:cs="Arial"/>
                <w:sz w:val="24"/>
                <w:szCs w:val="24"/>
                <w:lang w:eastAsia="pt-BR"/>
              </w:rPr>
            </w:pPr>
          </w:p>
          <w:p w:rsidR="00EE20D0" w:rsidRPr="00EE20D0" w:rsidRDefault="00EE20D0" w:rsidP="00EE20D0">
            <w:pPr>
              <w:spacing w:before="181" w:after="0" w:line="360" w:lineRule="auto"/>
              <w:rPr>
                <w:rFonts w:ascii="Arial" w:eastAsia="Times New Roman" w:hAnsi="Arial" w:cs="Arial"/>
                <w:sz w:val="24"/>
                <w:szCs w:val="24"/>
                <w:lang w:eastAsia="pt-BR"/>
              </w:rPr>
            </w:pP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Trata-se nessa disciplina de se fazer um estudo interdisciplinar sobre o conflito, seus condicionamentos históricos, culturais e tecnológicos, traçando um paralelo entre os valores e interesses que informam as abordagens coativas e persuasivas. Contempla, com base no pensamento sistêmico, a problemática do conflito na modernidade tardia da era dos conhecimentos. Aborda, ainda, as tendências do acesso à Justiça no século XXI e a complementaridade da mediação, da conciliação, da arbitragem, da negociação na resolução de controvérsias, apropriados pela cidadania, com ênfase, no âmbito do paradigma da punição/culpa indo na direção da reconstituição dos vínculos afetivos.  Apresenta os preceitos de comunicação construtiva; fundamentos </w:t>
            </w:r>
            <w:proofErr w:type="spellStart"/>
            <w:r w:rsidRPr="00EE20D0">
              <w:rPr>
                <w:rFonts w:ascii="Arial" w:eastAsia="Times New Roman" w:hAnsi="Arial" w:cs="Arial"/>
                <w:sz w:val="24"/>
                <w:szCs w:val="24"/>
                <w:lang w:eastAsia="pt-BR"/>
              </w:rPr>
              <w:t>lingüísticos</w:t>
            </w:r>
            <w:proofErr w:type="spellEnd"/>
            <w:r w:rsidRPr="00EE20D0">
              <w:rPr>
                <w:rFonts w:ascii="Arial" w:eastAsia="Times New Roman" w:hAnsi="Arial" w:cs="Arial"/>
                <w:sz w:val="24"/>
                <w:szCs w:val="24"/>
                <w:lang w:eastAsia="pt-BR"/>
              </w:rPr>
              <w:t xml:space="preserve"> de uma cultura de paz e direitos humanos. Discorre sobre os vários modelos de mediação, distinguindo os focados no acordo dos focados na relação. Cuida das etapas do procedimento de mediação, da ética, do perfil de um bom mediador (facilitador) e da moral contemporânea. Compartilha, também, as experiências pioneiras de mediação comunitária no Brasil e em outros países.</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20" w:history="1">
              <w:r w:rsidR="00EE20D0" w:rsidRPr="00EE20D0">
                <w:rPr>
                  <w:rFonts w:ascii="Arial" w:eastAsia="Times New Roman" w:hAnsi="Arial" w:cs="Arial"/>
                  <w:color w:val="0000FF"/>
                  <w:sz w:val="24"/>
                  <w:szCs w:val="24"/>
                  <w:u w:val="single"/>
                  <w:bdr w:val="none" w:sz="0" w:space="0" w:color="auto" w:frame="1"/>
                  <w:lang w:eastAsia="pt-BR"/>
                </w:rPr>
                <w:t xml:space="preserve">Limites e possibilidades da mediação </w:t>
              </w:r>
              <w:proofErr w:type="spellStart"/>
              <w:r w:rsidR="00EE20D0" w:rsidRPr="00EE20D0">
                <w:rPr>
                  <w:rFonts w:ascii="Arial" w:eastAsia="Times New Roman" w:hAnsi="Arial" w:cs="Arial"/>
                  <w:color w:val="0000FF"/>
                  <w:sz w:val="24"/>
                  <w:szCs w:val="24"/>
                  <w:u w:val="single"/>
                  <w:bdr w:val="none" w:sz="0" w:space="0" w:color="auto" w:frame="1"/>
                  <w:lang w:eastAsia="pt-BR"/>
                </w:rPr>
                <w:t>comunitária.popular</w:t>
              </w:r>
              <w:proofErr w:type="spellEnd"/>
              <w:r w:rsidR="00EE20D0" w:rsidRPr="00EE20D0">
                <w:rPr>
                  <w:rFonts w:ascii="Arial" w:eastAsia="Times New Roman" w:hAnsi="Arial" w:cs="Arial"/>
                  <w:color w:val="0000FF"/>
                  <w:sz w:val="24"/>
                  <w:szCs w:val="24"/>
                  <w:u w:val="single"/>
                  <w:bdr w:val="none" w:sz="0" w:space="0" w:color="auto" w:frame="1"/>
                  <w:lang w:eastAsia="pt-BR"/>
                </w:rPr>
                <w:t xml:space="preserve"> – para </w:t>
              </w:r>
              <w:proofErr w:type="spellStart"/>
              <w:r w:rsidR="00EE20D0" w:rsidRPr="00EE20D0">
                <w:rPr>
                  <w:rFonts w:ascii="Arial" w:eastAsia="Times New Roman" w:hAnsi="Arial" w:cs="Arial"/>
                  <w:color w:val="0000FF"/>
                  <w:sz w:val="24"/>
                  <w:szCs w:val="24"/>
                  <w:u w:val="single"/>
                  <w:bdr w:val="none" w:sz="0" w:space="0" w:color="auto" w:frame="1"/>
                  <w:lang w:eastAsia="pt-BR"/>
                </w:rPr>
                <w:t>mesclagem</w:t>
              </w:r>
              <w:proofErr w:type="spellEnd"/>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Controle social e alteridade</w:t>
            </w:r>
          </w:p>
        </w:tc>
        <w:tc>
          <w:tcPr>
            <w:tcW w:w="7203" w:type="dxa"/>
            <w:tcMar>
              <w:top w:w="28" w:type="dxa"/>
              <w:left w:w="28" w:type="dxa"/>
              <w:bottom w:w="28" w:type="dxa"/>
              <w:right w:w="28" w:type="dxa"/>
            </w:tcMar>
            <w:hideMark/>
          </w:tcPr>
          <w:p w:rsidR="00EE20D0" w:rsidRPr="00EE20D0" w:rsidRDefault="00EE20D0" w:rsidP="00EE20D0">
            <w:pPr>
              <w:spacing w:before="100" w:beforeAutospacing="1" w:after="284"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Natureza do controle social: nascimento da </w:t>
            </w:r>
            <w:proofErr w:type="spellStart"/>
            <w:r w:rsidRPr="00EE20D0">
              <w:rPr>
                <w:rFonts w:ascii="Arial" w:eastAsia="Times New Roman" w:hAnsi="Arial" w:cs="Arial"/>
                <w:sz w:val="24"/>
                <w:szCs w:val="24"/>
                <w:lang w:eastAsia="pt-BR"/>
              </w:rPr>
              <w:t>biopolítica</w:t>
            </w:r>
            <w:proofErr w:type="spellEnd"/>
            <w:r w:rsidRPr="00EE20D0">
              <w:rPr>
                <w:rFonts w:ascii="Arial" w:eastAsia="Times New Roman" w:hAnsi="Arial" w:cs="Arial"/>
                <w:sz w:val="24"/>
                <w:szCs w:val="24"/>
                <w:lang w:eastAsia="pt-BR"/>
              </w:rPr>
              <w:t xml:space="preserve">. Sociedade da disciplina à sociedade do controle. A </w:t>
            </w:r>
            <w:proofErr w:type="spellStart"/>
            <w:r w:rsidRPr="00EE20D0">
              <w:rPr>
                <w:rFonts w:ascii="Arial" w:eastAsia="Times New Roman" w:hAnsi="Arial" w:cs="Arial"/>
                <w:sz w:val="24"/>
                <w:szCs w:val="24"/>
                <w:lang w:eastAsia="pt-BR"/>
              </w:rPr>
              <w:t>penalogia</w:t>
            </w:r>
            <w:proofErr w:type="spellEnd"/>
            <w:r w:rsidRPr="00EE20D0">
              <w:rPr>
                <w:rFonts w:ascii="Arial" w:eastAsia="Times New Roman" w:hAnsi="Arial" w:cs="Arial"/>
                <w:sz w:val="24"/>
                <w:szCs w:val="24"/>
                <w:lang w:eastAsia="pt-BR"/>
              </w:rPr>
              <w:t xml:space="preserve"> pós-fordista e a lógica do </w:t>
            </w:r>
            <w:proofErr w:type="spellStart"/>
            <w:r w:rsidRPr="00EE20D0">
              <w:rPr>
                <w:rFonts w:ascii="Arial" w:eastAsia="Times New Roman" w:hAnsi="Arial" w:cs="Arial"/>
                <w:sz w:val="24"/>
                <w:szCs w:val="24"/>
                <w:lang w:eastAsia="pt-BR"/>
              </w:rPr>
              <w:t>atuarismo</w:t>
            </w:r>
            <w:proofErr w:type="spellEnd"/>
            <w:r w:rsidRPr="00EE20D0">
              <w:rPr>
                <w:rFonts w:ascii="Arial" w:eastAsia="Times New Roman" w:hAnsi="Arial" w:cs="Arial"/>
                <w:sz w:val="24"/>
                <w:szCs w:val="24"/>
                <w:lang w:eastAsia="pt-BR"/>
              </w:rPr>
              <w:t xml:space="preserve"> penal. Diversidade cultural, democracia e inclusão social. </w:t>
            </w:r>
            <w:proofErr w:type="spellStart"/>
            <w:r w:rsidRPr="00EE20D0">
              <w:rPr>
                <w:rFonts w:ascii="Arial" w:eastAsia="Times New Roman" w:hAnsi="Arial" w:cs="Arial"/>
                <w:sz w:val="24"/>
                <w:szCs w:val="24"/>
                <w:lang w:eastAsia="pt-BR"/>
              </w:rPr>
              <w:t>Biopolítica</w:t>
            </w:r>
            <w:proofErr w:type="spellEnd"/>
            <w:r w:rsidRPr="00EE20D0">
              <w:rPr>
                <w:rFonts w:ascii="Arial" w:eastAsia="Times New Roman" w:hAnsi="Arial" w:cs="Arial"/>
                <w:sz w:val="24"/>
                <w:szCs w:val="24"/>
                <w:lang w:eastAsia="pt-BR"/>
              </w:rPr>
              <w:t xml:space="preserve"> da vida.</w:t>
            </w:r>
          </w:p>
          <w:p w:rsidR="00EE20D0" w:rsidRPr="00EE20D0" w:rsidRDefault="0060359F" w:rsidP="00EE20D0">
            <w:pPr>
              <w:spacing w:before="100" w:beforeAutospacing="1" w:after="0" w:line="360" w:lineRule="auto"/>
              <w:rPr>
                <w:rFonts w:ascii="Arial" w:eastAsia="Times New Roman" w:hAnsi="Arial" w:cs="Arial"/>
                <w:sz w:val="24"/>
                <w:szCs w:val="24"/>
                <w:lang w:eastAsia="pt-BR"/>
              </w:rPr>
            </w:pPr>
            <w:hyperlink r:id="rId21" w:history="1">
              <w:r w:rsidR="00EE20D0" w:rsidRPr="00EE20D0">
                <w:rPr>
                  <w:rFonts w:ascii="Arial" w:eastAsia="Times New Roman" w:hAnsi="Arial" w:cs="Arial"/>
                  <w:color w:val="0000FF"/>
                  <w:sz w:val="24"/>
                  <w:szCs w:val="24"/>
                  <w:u w:val="single"/>
                  <w:bdr w:val="none" w:sz="0" w:space="0" w:color="auto" w:frame="1"/>
                  <w:lang w:eastAsia="pt-BR"/>
                </w:rPr>
                <w:t>Controle Social e Alteridade</w:t>
              </w:r>
            </w:hyperlink>
          </w:p>
        </w:tc>
      </w:tr>
      <w:tr w:rsidR="00EE20D0" w:rsidRPr="00EE20D0" w:rsidTr="00EE20D0">
        <w:trPr>
          <w:tblCellSpacing w:w="0" w:type="dxa"/>
        </w:trPr>
        <w:tc>
          <w:tcPr>
            <w:tcW w:w="2547"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lastRenderedPageBreak/>
              <w:t>Tutela jurisdicional de direitos fundamentais</w:t>
            </w:r>
          </w:p>
        </w:tc>
        <w:tc>
          <w:tcPr>
            <w:tcW w:w="7203" w:type="dxa"/>
            <w:tcMar>
              <w:top w:w="28" w:type="dxa"/>
              <w:left w:w="28" w:type="dxa"/>
              <w:bottom w:w="28" w:type="dxa"/>
              <w:right w:w="28" w:type="dxa"/>
            </w:tcMar>
            <w:hideMark/>
          </w:tcPr>
          <w:p w:rsidR="00EE20D0" w:rsidRPr="00EE20D0" w:rsidRDefault="00EE20D0" w:rsidP="00EE20D0">
            <w:pPr>
              <w:spacing w:before="18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Natureza e história dos direitos fundamentais. Direitos Humanos e Direitos Fundamentais. A norma dos Direitos Fundamentais. A constitucionalização e interpretação dos Direitos Fundamentais. Direitos Fundamentais no contexto de crise do Estado de bem-estar.</w:t>
            </w:r>
          </w:p>
          <w:p w:rsidR="00EE20D0" w:rsidRPr="00EE20D0" w:rsidRDefault="00EE20D0" w:rsidP="007F5E1F">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color w:val="0000FF"/>
                <w:sz w:val="24"/>
                <w:szCs w:val="24"/>
                <w:u w:val="single"/>
                <w:bdr w:val="none" w:sz="0" w:space="0" w:color="auto" w:frame="1"/>
                <w:lang w:eastAsia="pt-BR"/>
              </w:rPr>
              <w:t>Tutela Jurisdicional dos direitos fundamentais</w:t>
            </w:r>
          </w:p>
        </w:tc>
      </w:tr>
    </w:tbl>
    <w:p w:rsidR="00EE20D0" w:rsidRPr="00EE20D0" w:rsidRDefault="00EE20D0" w:rsidP="00EE20D0">
      <w:pPr>
        <w:spacing w:before="100" w:beforeAutospacing="1" w:after="240" w:line="360" w:lineRule="auto"/>
        <w:rPr>
          <w:rFonts w:ascii="Arial" w:eastAsia="Times New Roman" w:hAnsi="Arial" w:cs="Arial"/>
          <w:sz w:val="24"/>
          <w:szCs w:val="24"/>
          <w:lang w:eastAsia="pt-BR"/>
        </w:rPr>
      </w:pPr>
    </w:p>
    <w:tbl>
      <w:tblPr>
        <w:tblW w:w="97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37"/>
        <w:gridCol w:w="7313"/>
      </w:tblGrid>
      <w:tr w:rsidR="00EE20D0" w:rsidRPr="00EE20D0" w:rsidTr="00EE20D0">
        <w:trPr>
          <w:tblCellSpacing w:w="0" w:type="dxa"/>
        </w:trPr>
        <w:tc>
          <w:tcPr>
            <w:tcW w:w="9660" w:type="dxa"/>
            <w:gridSpan w:val="2"/>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Pesquisa Aplicada - Disciplinas obrigatórias</w:t>
            </w:r>
          </w:p>
        </w:tc>
      </w:tr>
      <w:tr w:rsidR="00EE20D0" w:rsidRPr="00EE20D0" w:rsidTr="00EE20D0">
        <w:trPr>
          <w:tblCellSpacing w:w="0" w:type="dxa"/>
        </w:trPr>
        <w:tc>
          <w:tcPr>
            <w:tcW w:w="241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b/>
                <w:bCs/>
                <w:sz w:val="24"/>
                <w:szCs w:val="24"/>
                <w:lang w:eastAsia="pt-BR"/>
              </w:rPr>
              <w:t>Disciplina</w:t>
            </w:r>
          </w:p>
        </w:tc>
        <w:tc>
          <w:tcPr>
            <w:tcW w:w="7185" w:type="dxa"/>
            <w:tcMar>
              <w:top w:w="28" w:type="dxa"/>
              <w:left w:w="28" w:type="dxa"/>
              <w:bottom w:w="28" w:type="dxa"/>
              <w:right w:w="28" w:type="dxa"/>
            </w:tcMar>
            <w:hideMark/>
          </w:tcPr>
          <w:p w:rsidR="00EE20D0" w:rsidRPr="00EE20D0" w:rsidRDefault="00EE20D0" w:rsidP="00BD14BB">
            <w:pPr>
              <w:spacing w:before="100" w:beforeAutospacing="1" w:after="0" w:line="360" w:lineRule="auto"/>
              <w:jc w:val="center"/>
              <w:rPr>
                <w:rFonts w:ascii="Arial" w:eastAsia="Times New Roman" w:hAnsi="Arial" w:cs="Arial"/>
                <w:sz w:val="24"/>
                <w:szCs w:val="24"/>
                <w:lang w:eastAsia="pt-BR"/>
              </w:rPr>
            </w:pPr>
            <w:r w:rsidRPr="00EE20D0">
              <w:rPr>
                <w:rFonts w:ascii="Arial" w:eastAsia="Times New Roman" w:hAnsi="Arial" w:cs="Arial"/>
                <w:b/>
                <w:bCs/>
                <w:sz w:val="24"/>
                <w:szCs w:val="24"/>
                <w:lang w:eastAsia="pt-BR"/>
              </w:rPr>
              <w:t>Ementa</w:t>
            </w:r>
          </w:p>
        </w:tc>
      </w:tr>
      <w:tr w:rsidR="00EE20D0" w:rsidRPr="00EE20D0" w:rsidTr="00EE20D0">
        <w:trPr>
          <w:tblCellSpacing w:w="0" w:type="dxa"/>
        </w:trPr>
        <w:tc>
          <w:tcPr>
            <w:tcW w:w="241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Projeto de Dissertação</w:t>
            </w:r>
          </w:p>
        </w:tc>
        <w:tc>
          <w:tcPr>
            <w:tcW w:w="718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Orientações metodológicas e de conteúdo na elaboração do projeto de dissertação</w:t>
            </w:r>
          </w:p>
        </w:tc>
      </w:tr>
      <w:tr w:rsidR="00EE20D0" w:rsidRPr="00EE20D0" w:rsidTr="00EE20D0">
        <w:trPr>
          <w:tblCellSpacing w:w="0" w:type="dxa"/>
        </w:trPr>
        <w:tc>
          <w:tcPr>
            <w:tcW w:w="241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Dissertação</w:t>
            </w:r>
          </w:p>
        </w:tc>
        <w:tc>
          <w:tcPr>
            <w:tcW w:w="718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Orientação metodológica e de conteúdo na elaboração da dissertação de mestrado</w:t>
            </w:r>
          </w:p>
        </w:tc>
      </w:tr>
      <w:tr w:rsidR="00EE20D0" w:rsidRPr="00EE20D0" w:rsidTr="00EE20D0">
        <w:trPr>
          <w:tblCellSpacing w:w="0" w:type="dxa"/>
        </w:trPr>
        <w:tc>
          <w:tcPr>
            <w:tcW w:w="241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Tópicos especiais</w:t>
            </w:r>
          </w:p>
        </w:tc>
        <w:tc>
          <w:tcPr>
            <w:tcW w:w="7185" w:type="dxa"/>
            <w:tcMar>
              <w:top w:w="28" w:type="dxa"/>
              <w:left w:w="28" w:type="dxa"/>
              <w:bottom w:w="28" w:type="dxa"/>
              <w:right w:w="28" w:type="dxa"/>
            </w:tcMar>
            <w:hideMark/>
          </w:tcPr>
          <w:p w:rsidR="00EE20D0" w:rsidRPr="00EE20D0" w:rsidRDefault="00EE20D0" w:rsidP="00BD14BB">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Espaço acadêmico aberto a programação anual do Programa, para atender a demanda, sobre temas, atividades e/ou </w:t>
            </w:r>
            <w:r w:rsidR="00BD14BB" w:rsidRPr="00EE20D0">
              <w:rPr>
                <w:rFonts w:ascii="Arial" w:eastAsia="Times New Roman" w:hAnsi="Arial" w:cs="Arial"/>
                <w:sz w:val="24"/>
                <w:szCs w:val="24"/>
                <w:lang w:eastAsia="pt-BR"/>
              </w:rPr>
              <w:t>conteúdo</w:t>
            </w:r>
            <w:r w:rsidR="00BD14BB">
              <w:rPr>
                <w:rFonts w:ascii="Arial" w:eastAsia="Times New Roman" w:hAnsi="Arial" w:cs="Arial"/>
                <w:sz w:val="24"/>
                <w:szCs w:val="24"/>
                <w:lang w:eastAsia="pt-BR"/>
              </w:rPr>
              <w:t>s</w:t>
            </w:r>
            <w:r w:rsidRPr="00EE20D0">
              <w:rPr>
                <w:rFonts w:ascii="Arial" w:eastAsia="Times New Roman" w:hAnsi="Arial" w:cs="Arial"/>
                <w:sz w:val="24"/>
                <w:szCs w:val="24"/>
                <w:lang w:eastAsia="pt-BR"/>
              </w:rPr>
              <w:t>, que venham dar maior flexibilidade à formação acadêmica do mestrando. O referido Tópico Especial será ofertado no último quadrimestre do Curso.</w:t>
            </w:r>
          </w:p>
        </w:tc>
      </w:tr>
      <w:tr w:rsidR="00EE20D0" w:rsidRPr="00EE20D0" w:rsidTr="00EE20D0">
        <w:trPr>
          <w:tblCellSpacing w:w="0" w:type="dxa"/>
        </w:trPr>
        <w:tc>
          <w:tcPr>
            <w:tcW w:w="241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Estágio de Docência</w:t>
            </w:r>
          </w:p>
        </w:tc>
        <w:tc>
          <w:tcPr>
            <w:tcW w:w="7185" w:type="dxa"/>
            <w:tcMar>
              <w:top w:w="28" w:type="dxa"/>
              <w:left w:w="28" w:type="dxa"/>
              <w:bottom w:w="28" w:type="dxa"/>
              <w:right w:w="28" w:type="dxa"/>
            </w:tcMar>
            <w:hideMark/>
          </w:tcPr>
          <w:p w:rsidR="00EE20D0" w:rsidRPr="00EE20D0" w:rsidRDefault="00EE20D0" w:rsidP="00EE20D0">
            <w:pPr>
              <w:spacing w:before="100" w:beforeAutospacing="1" w:after="0" w:line="360" w:lineRule="auto"/>
              <w:rPr>
                <w:rFonts w:ascii="Arial" w:eastAsia="Times New Roman" w:hAnsi="Arial" w:cs="Arial"/>
                <w:sz w:val="24"/>
                <w:szCs w:val="24"/>
                <w:lang w:eastAsia="pt-BR"/>
              </w:rPr>
            </w:pPr>
            <w:r w:rsidRPr="00EE20D0">
              <w:rPr>
                <w:rFonts w:ascii="Arial" w:eastAsia="Times New Roman" w:hAnsi="Arial" w:cs="Arial"/>
                <w:sz w:val="24"/>
                <w:szCs w:val="24"/>
                <w:lang w:eastAsia="pt-BR"/>
              </w:rPr>
              <w:t xml:space="preserve">Atividade docente obrigatória conforme Art. 32. </w:t>
            </w:r>
            <w:proofErr w:type="gramStart"/>
            <w:r w:rsidRPr="00EE20D0">
              <w:rPr>
                <w:rFonts w:ascii="Arial" w:eastAsia="Times New Roman" w:hAnsi="Arial" w:cs="Arial"/>
                <w:sz w:val="24"/>
                <w:szCs w:val="24"/>
                <w:lang w:eastAsia="pt-BR"/>
              </w:rPr>
              <w:t>do</w:t>
            </w:r>
            <w:proofErr w:type="gramEnd"/>
            <w:r w:rsidRPr="00EE20D0">
              <w:rPr>
                <w:rFonts w:ascii="Arial" w:eastAsia="Times New Roman" w:hAnsi="Arial" w:cs="Arial"/>
                <w:sz w:val="24"/>
                <w:szCs w:val="24"/>
                <w:lang w:eastAsia="pt-BR"/>
              </w:rPr>
              <w:t xml:space="preserve"> Regimento do Programa (…) § </w:t>
            </w:r>
            <w:r w:rsidR="00BD14BB" w:rsidRPr="00EE20D0">
              <w:rPr>
                <w:rFonts w:ascii="Arial" w:eastAsia="Times New Roman" w:hAnsi="Arial" w:cs="Arial"/>
                <w:sz w:val="24"/>
                <w:szCs w:val="24"/>
                <w:lang w:eastAsia="pt-BR"/>
              </w:rPr>
              <w:t>4º.:</w:t>
            </w:r>
            <w:r w:rsidRPr="00EE20D0">
              <w:rPr>
                <w:rFonts w:ascii="Arial" w:eastAsia="Times New Roman" w:hAnsi="Arial" w:cs="Arial"/>
                <w:sz w:val="24"/>
                <w:szCs w:val="24"/>
                <w:lang w:eastAsia="pt-BR"/>
              </w:rPr>
              <w:t xml:space="preserve"> O estágio de docência será constituído por atividades de magistério superior desenvolvidas pelo(a) mestrando(a), junto a um dos Cursos de Graduação em Direito da URI ou curso superior de graduação em direito similar, sempre sob a supervisão de um dos professores do corpo docente do Programa de Pós-Graduação Stricto Sensu, e/ou conjuntamente com o seu orientador.</w:t>
            </w:r>
          </w:p>
        </w:tc>
      </w:tr>
    </w:tbl>
    <w:p w:rsidR="007741EF" w:rsidRPr="0060359F" w:rsidRDefault="007741EF" w:rsidP="0060359F">
      <w:pPr>
        <w:rPr>
          <w:rFonts w:ascii="Arial" w:eastAsia="Times New Roman" w:hAnsi="Arial" w:cs="Arial"/>
          <w:b/>
          <w:bCs/>
          <w:color w:val="0070C0"/>
          <w:sz w:val="32"/>
          <w:szCs w:val="32"/>
          <w:shd w:val="clear" w:color="auto" w:fill="FFFFFF"/>
          <w:lang w:eastAsia="pt-BR"/>
        </w:rPr>
      </w:pPr>
      <w:bookmarkStart w:id="0" w:name="_GoBack"/>
      <w:bookmarkEnd w:id="0"/>
    </w:p>
    <w:sectPr w:rsidR="007741EF" w:rsidRPr="0060359F" w:rsidSect="00EE20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7F77"/>
    <w:multiLevelType w:val="hybridMultilevel"/>
    <w:tmpl w:val="A8E2835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5061995"/>
    <w:multiLevelType w:val="multilevel"/>
    <w:tmpl w:val="527A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72B61"/>
    <w:multiLevelType w:val="multilevel"/>
    <w:tmpl w:val="CEF07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C33927"/>
    <w:multiLevelType w:val="multilevel"/>
    <w:tmpl w:val="A34C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144C71"/>
    <w:multiLevelType w:val="hybridMultilevel"/>
    <w:tmpl w:val="9618AE7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64FF4F13"/>
    <w:multiLevelType w:val="hybridMultilevel"/>
    <w:tmpl w:val="9092CC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5E313BE"/>
    <w:multiLevelType w:val="multilevel"/>
    <w:tmpl w:val="35AA4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D0"/>
    <w:rsid w:val="0005710D"/>
    <w:rsid w:val="00360AEA"/>
    <w:rsid w:val="003D0C52"/>
    <w:rsid w:val="005102F2"/>
    <w:rsid w:val="0060359F"/>
    <w:rsid w:val="00603EEF"/>
    <w:rsid w:val="007741EF"/>
    <w:rsid w:val="007F5E1F"/>
    <w:rsid w:val="00B95434"/>
    <w:rsid w:val="00BD14BB"/>
    <w:rsid w:val="00CF4C29"/>
    <w:rsid w:val="00D3762F"/>
    <w:rsid w:val="00EA3247"/>
    <w:rsid w:val="00EE20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269E-E5E4-43CA-8214-4A843C05F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E20D0"/>
    <w:pPr>
      <w:spacing w:after="0" w:line="360" w:lineRule="auto"/>
      <w:jc w:val="center"/>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E20D0"/>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EE20D0"/>
    <w:pPr>
      <w:spacing w:before="100" w:beforeAutospacing="1" w:after="142" w:line="288"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E20D0"/>
    <w:rPr>
      <w:b/>
      <w:bCs/>
    </w:rPr>
  </w:style>
  <w:style w:type="character" w:styleId="Hyperlink">
    <w:name w:val="Hyperlink"/>
    <w:basedOn w:val="Fontepargpadro"/>
    <w:uiPriority w:val="99"/>
    <w:unhideWhenUsed/>
    <w:rsid w:val="00EE20D0"/>
    <w:rPr>
      <w:color w:val="0000FF"/>
      <w:u w:val="single"/>
    </w:rPr>
  </w:style>
  <w:style w:type="paragraph" w:styleId="PargrafodaLista">
    <w:name w:val="List Paragraph"/>
    <w:basedOn w:val="Normal"/>
    <w:uiPriority w:val="34"/>
    <w:qFormat/>
    <w:rsid w:val="00EE20D0"/>
    <w:pPr>
      <w:ind w:left="720"/>
      <w:contextualSpacing/>
    </w:pPr>
  </w:style>
  <w:style w:type="character" w:styleId="HiperlinkVisitado">
    <w:name w:val="FollowedHyperlink"/>
    <w:basedOn w:val="Fontepargpadro"/>
    <w:uiPriority w:val="99"/>
    <w:semiHidden/>
    <w:unhideWhenUsed/>
    <w:rsid w:val="00603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4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app2s.santoangelo.uri.br/sites/mestrado_direito/wp-content/uploads/2013/06/TEORIA-DA-SOCIEDADE-COMPLEXA.pdf" TargetMode="External"/><Relationship Id="rId13" Type="http://schemas.openxmlformats.org/officeDocument/2006/relationships/hyperlink" Target="http://srvapp2s.santoangelo.uri.br/sites/mestrado_direito/wp-content/uploads/2013/06/Direito-cultura-e-religi%C3%A3o.pdf" TargetMode="External"/><Relationship Id="rId18" Type="http://schemas.openxmlformats.org/officeDocument/2006/relationships/hyperlink" Target="http://srvapp2s.santoangelo.uri.br/sites/mestrado_direito/wp-content/uploads/2013/06/Cultura-inova%C3%A7%C3%A3o-e-tutela-do-patrim%C3%B4nio.pdf" TargetMode="External"/><Relationship Id="rId3" Type="http://schemas.openxmlformats.org/officeDocument/2006/relationships/styles" Target="styles.xml"/><Relationship Id="rId21" Type="http://schemas.openxmlformats.org/officeDocument/2006/relationships/hyperlink" Target="http://srvapp2s.santoangelo.uri.br/sites/mestrado_direito/wp-content/uploads/2013/06/Controle-Social-e-Alteridade-1.pdf" TargetMode="External"/><Relationship Id="rId7" Type="http://schemas.openxmlformats.org/officeDocument/2006/relationships/hyperlink" Target="http://srvapp2s.santoangelo.uri.br/sites/mestrado_direito/wp-content/uploads/2013/06/Teoria-Pol%C3%ADtica-do-Mundo-Globalizado.pdf" TargetMode="External"/><Relationship Id="rId12" Type="http://schemas.openxmlformats.org/officeDocument/2006/relationships/hyperlink" Target="http://srvapp2s.santoangelo.uri.br/sites/mestrado_direito/wp-content/uploads/2013/06/Antropologia-e-g%C3%AAnero.pdf" TargetMode="External"/><Relationship Id="rId17" Type="http://schemas.openxmlformats.org/officeDocument/2006/relationships/hyperlink" Target="http://srvapp2s.santoangelo.uri.br/sites/mestrado_direito/wp-content/uploads/2013/06/Pol%C3%ADticas-Legislativas-e-Diversidade.pdf" TargetMode="External"/><Relationship Id="rId2" Type="http://schemas.openxmlformats.org/officeDocument/2006/relationships/numbering" Target="numbering.xml"/><Relationship Id="rId16" Type="http://schemas.openxmlformats.org/officeDocument/2006/relationships/hyperlink" Target="http://srvapp2s.santoangelo.uri.br/sites/mestrado_direito/wp-content/uploads/2013/06/ESTADO-CONSTITUI%C3%87%C3%83O-E-DIFEREN%C3%87A.pdf" TargetMode="External"/><Relationship Id="rId20" Type="http://schemas.openxmlformats.org/officeDocument/2006/relationships/hyperlink" Target="http://srvapp2s.santoangelo.uri.br/sites/mestrado_direito/wp-content/uploads/2013/06/Limites-e-possibilidades-da-media%C3%A7%C3%A3o-comunit%C3%A1ria.popular-para-mesclagem.pdf" TargetMode="External"/><Relationship Id="rId1" Type="http://schemas.openxmlformats.org/officeDocument/2006/relationships/customXml" Target="../customXml/item1.xml"/><Relationship Id="rId6" Type="http://schemas.openxmlformats.org/officeDocument/2006/relationships/hyperlink" Target="http://srvapp2s.santoangelo.uri.br/sites/mestrado_direito/wp-content/uploads/2013/06/Teoria-do-Direito-Contempor%C3%A2neo.pdf" TargetMode="External"/><Relationship Id="rId11" Type="http://schemas.openxmlformats.org/officeDocument/2006/relationships/hyperlink" Target="http://srvapp2s.santoangelo.uri.br/sites/mestrado_direito/wp-content/uploads/2013/06/Multiculturalismo-Identidade-e-Diversidade.pdf" TargetMode="External"/><Relationship Id="rId5" Type="http://schemas.openxmlformats.org/officeDocument/2006/relationships/webSettings" Target="webSettings.xml"/><Relationship Id="rId15" Type="http://schemas.openxmlformats.org/officeDocument/2006/relationships/hyperlink" Target="http://srvapp2s.santoangelo.uri.br/sites/mestrado_direito/wp-content/uploads/2013/06/Ecologia-Pol%C3%ADtica.pdf" TargetMode="External"/><Relationship Id="rId23" Type="http://schemas.openxmlformats.org/officeDocument/2006/relationships/theme" Target="theme/theme1.xml"/><Relationship Id="rId10" Type="http://schemas.openxmlformats.org/officeDocument/2006/relationships/hyperlink" Target="http://srvapp2s.santoangelo.uri.br/sites/mestrado_direito/wp-content/uploads/2013/06/M%C3%A9todo-da-Pesquisa-e-do-Ensino-Superior.pdf" TargetMode="External"/><Relationship Id="rId19" Type="http://schemas.openxmlformats.org/officeDocument/2006/relationships/hyperlink" Target="http://srvapp2s.santoangelo.uri.br/sites/mestrado_direito/wp-content/uploads/2013/06/Direito-Internacional-e-Intera%C3%A7%C3%A3o-na-Am%C3%A9rica-Latina-1.pdf" TargetMode="External"/><Relationship Id="rId4" Type="http://schemas.openxmlformats.org/officeDocument/2006/relationships/settings" Target="settings.xml"/><Relationship Id="rId9" Type="http://schemas.openxmlformats.org/officeDocument/2006/relationships/hyperlink" Target="http://srvapp2s.santoangelo.uri.br/sites/mestrado_direito/wp-content/uploads/2013/06/Direitos-Humanos-e-Cidadania-em-Sociedades-Multiculturais.pdf" TargetMode="External"/><Relationship Id="rId14" Type="http://schemas.openxmlformats.org/officeDocument/2006/relationships/hyperlink" Target="http://srvapp2s.santoangelo.uri.br/sites/mestrado_direito/wp-content/uploads/2013/06/DIREITO-MOVIMENTOS-SOCIAIS-E-MINORIAS.pdf"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A752C-AD8D-4AB8-B5E0-50E9FAB2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10716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BRAULOS DE MELLO</dc:creator>
  <cp:keywords/>
  <dc:description/>
  <cp:lastModifiedBy>RAFAEL BRAULOS DE MELLO</cp:lastModifiedBy>
  <cp:revision>2</cp:revision>
  <dcterms:created xsi:type="dcterms:W3CDTF">2020-02-21T14:19:00Z</dcterms:created>
  <dcterms:modified xsi:type="dcterms:W3CDTF">2020-02-21T14:19:00Z</dcterms:modified>
</cp:coreProperties>
</file>